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r w:rsidRPr="005F705D">
        <w:rPr>
          <w:b/>
          <w:sz w:val="24"/>
          <w:szCs w:val="24"/>
        </w:rPr>
        <w:t>3GPP TSG-RAN WG2 Meeting #1</w:t>
      </w:r>
      <w:r w:rsidR="00811FCD">
        <w:rPr>
          <w:b/>
          <w:sz w:val="24"/>
          <w:szCs w:val="24"/>
        </w:rPr>
        <w:t>06</w:t>
      </w:r>
      <w:r w:rsidRPr="005F705D">
        <w:rPr>
          <w:b/>
          <w:sz w:val="24"/>
          <w:szCs w:val="24"/>
        </w:rPr>
        <w:t xml:space="preserve">     </w:t>
      </w:r>
      <w:r w:rsidRPr="005F705D">
        <w:rPr>
          <w:b/>
          <w:sz w:val="24"/>
          <w:szCs w:val="24"/>
        </w:rPr>
        <w:tab/>
      </w:r>
      <w:r w:rsidRPr="005F705D">
        <w:rPr>
          <w:b/>
          <w:sz w:val="24"/>
          <w:szCs w:val="24"/>
        </w:rPr>
        <w:tab/>
      </w:r>
      <w:r>
        <w:rPr>
          <w:b/>
          <w:sz w:val="24"/>
          <w:szCs w:val="24"/>
        </w:rPr>
        <w:t xml:space="preserve">                                            </w:t>
      </w:r>
      <w:r w:rsidR="00DD663E" w:rsidRPr="00DD663E">
        <w:rPr>
          <w:b/>
          <w:sz w:val="24"/>
          <w:szCs w:val="24"/>
        </w:rPr>
        <w:t>R2-1907372</w:t>
      </w:r>
    </w:p>
    <w:p w:rsidR="000F259D" w:rsidRDefault="00811FCD" w:rsidP="005F705D">
      <w:pPr>
        <w:tabs>
          <w:tab w:val="left" w:pos="567"/>
        </w:tabs>
        <w:rPr>
          <w:b/>
          <w:sz w:val="24"/>
          <w:szCs w:val="24"/>
        </w:rPr>
      </w:pPr>
      <w:r>
        <w:rPr>
          <w:b/>
          <w:sz w:val="24"/>
          <w:szCs w:val="24"/>
        </w:rPr>
        <w:t>Reno</w:t>
      </w:r>
      <w:r w:rsidR="005F705D" w:rsidRPr="005F705D">
        <w:rPr>
          <w:b/>
          <w:sz w:val="24"/>
          <w:szCs w:val="24"/>
        </w:rPr>
        <w:t xml:space="preserve">, </w:t>
      </w:r>
      <w:r>
        <w:rPr>
          <w:b/>
          <w:sz w:val="24"/>
          <w:szCs w:val="24"/>
        </w:rPr>
        <w:t>USA</w:t>
      </w:r>
      <w:r w:rsidR="005F705D" w:rsidRPr="005F705D">
        <w:rPr>
          <w:b/>
          <w:sz w:val="24"/>
          <w:szCs w:val="24"/>
        </w:rPr>
        <w:t xml:space="preserve">, </w:t>
      </w:r>
      <w:r>
        <w:rPr>
          <w:b/>
          <w:sz w:val="24"/>
          <w:szCs w:val="24"/>
        </w:rPr>
        <w:t>13</w:t>
      </w:r>
      <w:r w:rsidR="00AF733C" w:rsidRPr="00AF733C">
        <w:rPr>
          <w:b/>
          <w:sz w:val="24"/>
          <w:szCs w:val="24"/>
          <w:vertAlign w:val="superscript"/>
        </w:rPr>
        <w:t>th</w:t>
      </w:r>
      <w:r w:rsidR="00AF733C">
        <w:rPr>
          <w:b/>
          <w:sz w:val="24"/>
          <w:szCs w:val="24"/>
          <w:vertAlign w:val="superscript"/>
        </w:rPr>
        <w:t xml:space="preserve"> </w:t>
      </w:r>
      <w:r>
        <w:rPr>
          <w:b/>
          <w:sz w:val="24"/>
          <w:szCs w:val="24"/>
        </w:rPr>
        <w:t>May</w:t>
      </w:r>
      <w:r w:rsidR="00AF733C">
        <w:rPr>
          <w:b/>
          <w:sz w:val="24"/>
          <w:szCs w:val="24"/>
        </w:rPr>
        <w:t xml:space="preserve"> – 1</w:t>
      </w:r>
      <w:r>
        <w:rPr>
          <w:b/>
          <w:sz w:val="24"/>
          <w:szCs w:val="24"/>
        </w:rPr>
        <w:t>7</w:t>
      </w:r>
      <w:r w:rsidR="00AF733C" w:rsidRPr="00AF733C">
        <w:rPr>
          <w:b/>
          <w:sz w:val="24"/>
          <w:szCs w:val="24"/>
          <w:vertAlign w:val="superscript"/>
        </w:rPr>
        <w:t>th</w:t>
      </w:r>
      <w:r w:rsidR="00AF733C">
        <w:rPr>
          <w:b/>
          <w:sz w:val="24"/>
          <w:szCs w:val="24"/>
        </w:rPr>
        <w:t xml:space="preserve"> </w:t>
      </w:r>
      <w:r>
        <w:rPr>
          <w:b/>
          <w:sz w:val="24"/>
          <w:szCs w:val="24"/>
        </w:rPr>
        <w:t>May</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A672BA" w:rsidRPr="00A672BA">
        <w:rPr>
          <w:b/>
          <w:sz w:val="24"/>
          <w:szCs w:val="24"/>
        </w:rPr>
        <w:t>NR DC framework for route redundancy in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B01529" w:rsidP="004A7002">
      <w:pPr>
        <w:rPr>
          <w:rFonts w:ascii="Calibri" w:eastAsia="Malgun Gothic" w:hAnsi="Calibri" w:cs="Batang"/>
          <w:lang w:val="en-GB" w:eastAsia="ko-KR"/>
        </w:rPr>
      </w:pPr>
      <w:r>
        <w:rPr>
          <w:rFonts w:ascii="Calibri" w:eastAsia="Malgun Gothic" w:hAnsi="Calibri" w:cs="Batang"/>
          <w:lang w:val="en-GB" w:eastAsia="ko-KR"/>
        </w:rPr>
        <w:t>At RAN2#105bis meeting the following agreement was made regarding use of NR DC for IAB nodes:</w:t>
      </w:r>
    </w:p>
    <w:p w:rsidR="00207678" w:rsidRPr="005E5DCB" w:rsidRDefault="00207678" w:rsidP="00207678">
      <w:pPr>
        <w:pStyle w:val="Agreement"/>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b w:val="0"/>
          <w:lang w:val="en-US"/>
        </w:rPr>
      </w:pPr>
      <w:r w:rsidRPr="005E5DCB">
        <w:rPr>
          <w:b w:val="0"/>
        </w:rPr>
        <w:t xml:space="preserve">R2 assumes that </w:t>
      </w:r>
      <w:r w:rsidRPr="005E5DCB">
        <w:rPr>
          <w:b w:val="0"/>
          <w:lang w:val="en-US"/>
        </w:rPr>
        <w:t xml:space="preserve">the NR DC framework (e.g. MCG SCG related procedures) is used to configure dual radio links used as IAB </w:t>
      </w:r>
      <w:proofErr w:type="spellStart"/>
      <w:r w:rsidRPr="005E5DCB">
        <w:rPr>
          <w:b w:val="0"/>
          <w:lang w:val="en-US"/>
        </w:rPr>
        <w:t>bh</w:t>
      </w:r>
      <w:proofErr w:type="spellEnd"/>
      <w:r w:rsidRPr="005E5DCB">
        <w:rPr>
          <w:b w:val="0"/>
          <w:lang w:val="en-US"/>
        </w:rPr>
        <w:t xml:space="preserve"> links with two parent nodes.</w:t>
      </w:r>
    </w:p>
    <w:p w:rsidR="00A61CB6" w:rsidRDefault="00A61CB6" w:rsidP="004A7002">
      <w:pPr>
        <w:rPr>
          <w:rFonts w:ascii="Calibri" w:eastAsia="Malgun Gothic" w:hAnsi="Calibri" w:cs="Batang"/>
          <w:lang w:val="en-GB" w:eastAsia="ko-KR"/>
        </w:rPr>
      </w:pPr>
    </w:p>
    <w:p w:rsidR="00A61CB6" w:rsidRDefault="00300129" w:rsidP="004A7002">
      <w:pPr>
        <w:rPr>
          <w:rFonts w:ascii="Calibri" w:eastAsia="Malgun Gothic" w:hAnsi="Calibri" w:cs="Batang"/>
          <w:lang w:val="en-GB" w:eastAsia="ko-KR"/>
        </w:rPr>
      </w:pPr>
      <w:r>
        <w:rPr>
          <w:rFonts w:ascii="Calibri" w:eastAsia="Malgun Gothic" w:hAnsi="Calibri" w:cs="Batang"/>
          <w:lang w:val="en-GB" w:eastAsia="ko-KR"/>
        </w:rPr>
        <w:t xml:space="preserve">This agreement </w:t>
      </w:r>
      <w:r w:rsidR="004A720A">
        <w:rPr>
          <w:rFonts w:ascii="Calibri" w:eastAsia="Malgun Gothic" w:hAnsi="Calibri" w:cs="Batang"/>
          <w:lang w:val="en-GB" w:eastAsia="ko-KR"/>
        </w:rPr>
        <w:t>enables the</w:t>
      </w:r>
      <w:r w:rsidR="00784079">
        <w:rPr>
          <w:rFonts w:ascii="Calibri" w:eastAsia="Malgun Gothic" w:hAnsi="Calibri" w:cs="Batang"/>
          <w:lang w:val="en-GB" w:eastAsia="ko-KR"/>
        </w:rPr>
        <w:t xml:space="preserve"> use of route redundancy at IAB nodes by setting up </w:t>
      </w:r>
      <w:r w:rsidR="004A720A">
        <w:rPr>
          <w:rFonts w:ascii="Calibri" w:eastAsia="Malgun Gothic" w:hAnsi="Calibri" w:cs="Batang"/>
          <w:lang w:val="en-GB" w:eastAsia="ko-KR"/>
        </w:rPr>
        <w:t>MCG and SCG configuration</w:t>
      </w:r>
      <w:r w:rsidR="00784079">
        <w:rPr>
          <w:rFonts w:ascii="Calibri" w:eastAsia="Malgun Gothic" w:hAnsi="Calibri" w:cs="Batang"/>
          <w:lang w:val="en-GB" w:eastAsia="ko-KR"/>
        </w:rPr>
        <w:t>s</w:t>
      </w:r>
      <w:r w:rsidR="004A720A">
        <w:rPr>
          <w:rFonts w:ascii="Calibri" w:eastAsia="Malgun Gothic" w:hAnsi="Calibri" w:cs="Batang"/>
          <w:lang w:val="en-GB" w:eastAsia="ko-KR"/>
        </w:rPr>
        <w:t xml:space="preserve"> for the MT of an IAB node using existing Release 15 specifications.</w:t>
      </w:r>
      <w:r w:rsidR="00EA17FF">
        <w:rPr>
          <w:rFonts w:ascii="Calibri" w:eastAsia="Malgun Gothic" w:hAnsi="Calibri" w:cs="Batang"/>
          <w:lang w:val="en-GB" w:eastAsia="ko-KR"/>
        </w:rPr>
        <w:t xml:space="preserve"> O</w:t>
      </w:r>
      <w:r w:rsidR="004A720A">
        <w:rPr>
          <w:rFonts w:ascii="Calibri" w:eastAsia="Malgun Gothic" w:hAnsi="Calibri" w:cs="Batang"/>
          <w:lang w:val="en-GB" w:eastAsia="ko-KR"/>
        </w:rPr>
        <w:t xml:space="preserve">n the user plane, since </w:t>
      </w:r>
      <w:r w:rsidR="00EA17FF">
        <w:rPr>
          <w:rFonts w:ascii="Calibri" w:eastAsia="Malgun Gothic" w:hAnsi="Calibri" w:cs="Batang"/>
          <w:lang w:val="en-GB" w:eastAsia="ko-KR"/>
        </w:rPr>
        <w:t xml:space="preserve">the MT of the IAB node does not terminate PDCP, traditional NR DC behaviour (switched-bearer or split bearer) cannot be supported. However, since the donor CU can establish separate RLC backhaul channels on the MCG path and SCG path of </w:t>
      </w:r>
      <w:r w:rsidR="004E748E">
        <w:rPr>
          <w:rFonts w:ascii="Calibri" w:eastAsia="Malgun Gothic" w:hAnsi="Calibri" w:cs="Batang"/>
          <w:lang w:val="en-GB" w:eastAsia="ko-KR"/>
        </w:rPr>
        <w:t xml:space="preserve">the </w:t>
      </w:r>
      <w:r w:rsidR="00EA17FF">
        <w:rPr>
          <w:rFonts w:ascii="Calibri" w:eastAsia="Malgun Gothic" w:hAnsi="Calibri" w:cs="Batang"/>
          <w:lang w:val="en-GB" w:eastAsia="ko-KR"/>
        </w:rPr>
        <w:t xml:space="preserve">MT, each with a distinct allocated IP address, </w:t>
      </w:r>
      <w:r w:rsidR="004E748E">
        <w:rPr>
          <w:rFonts w:ascii="Calibri" w:eastAsia="Malgun Gothic" w:hAnsi="Calibri" w:cs="Batang"/>
          <w:lang w:val="en-GB" w:eastAsia="ko-KR"/>
        </w:rPr>
        <w:t>route</w:t>
      </w:r>
      <w:r w:rsidR="00EA17FF">
        <w:rPr>
          <w:rFonts w:ascii="Calibri" w:eastAsia="Malgun Gothic" w:hAnsi="Calibri" w:cs="Batang"/>
          <w:lang w:val="en-GB" w:eastAsia="ko-KR"/>
        </w:rPr>
        <w:t xml:space="preserve"> redundancy can be still be achieved at the F1-C </w:t>
      </w:r>
      <w:r w:rsidR="004E748E">
        <w:rPr>
          <w:rFonts w:ascii="Calibri" w:eastAsia="Malgun Gothic" w:hAnsi="Calibri" w:cs="Batang"/>
          <w:lang w:val="en-GB" w:eastAsia="ko-KR"/>
        </w:rPr>
        <w:t>or F1-U level. Furthermore, load balancing across the MCG and SCG paths can also be supported at the F1-C or F1-U level.</w:t>
      </w:r>
      <w:r w:rsidR="00255E63">
        <w:rPr>
          <w:rFonts w:ascii="Calibri" w:eastAsia="Malgun Gothic" w:hAnsi="Calibri" w:cs="Batang"/>
          <w:lang w:val="en-GB" w:eastAsia="ko-KR"/>
        </w:rPr>
        <w:t xml:space="preserve"> In this contribution we discuss </w:t>
      </w:r>
      <w:r w:rsidR="00EB055B">
        <w:rPr>
          <w:rFonts w:ascii="Calibri" w:eastAsia="Malgun Gothic" w:hAnsi="Calibri" w:cs="Batang"/>
          <w:lang w:val="en-GB" w:eastAsia="ko-KR"/>
        </w:rPr>
        <w:t>further aspects related to using NR DC for route redundancy and load balancing for IAB</w:t>
      </w:r>
      <w:r w:rsidR="004E748E">
        <w:rPr>
          <w:rFonts w:ascii="Calibri" w:eastAsia="Malgun Gothic" w:hAnsi="Calibri" w:cs="Batang"/>
          <w:lang w:val="en-GB" w:eastAsia="ko-KR"/>
        </w:rPr>
        <w:t>.</w:t>
      </w:r>
      <w:r w:rsidR="00AE7CA4">
        <w:rPr>
          <w:rFonts w:ascii="Calibri" w:eastAsia="Malgun Gothic" w:hAnsi="Calibri" w:cs="Batang"/>
          <w:lang w:val="en-GB" w:eastAsia="ko-KR"/>
        </w:rPr>
        <w:t xml:space="preserve"> </w:t>
      </w:r>
      <w:r w:rsidR="00A61CB6">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784079">
        <w:t xml:space="preserve">Primary and Secondary </w:t>
      </w:r>
      <w:r w:rsidR="00E92812">
        <w:t>IP Connections to an IAB Node</w:t>
      </w:r>
    </w:p>
    <w:p w:rsidR="00255E63" w:rsidRDefault="0087543D" w:rsidP="004A7002">
      <w:pPr>
        <w:rPr>
          <w:rFonts w:ascii="Calibri" w:eastAsia="Malgun Gothic" w:hAnsi="Calibri" w:cs="Batang"/>
          <w:lang w:val="en-GB" w:eastAsia="ko-KR"/>
        </w:rPr>
      </w:pPr>
      <w:r>
        <w:rPr>
          <w:rFonts w:ascii="Calibri" w:eastAsia="Malgun Gothic" w:hAnsi="Calibri" w:cs="Batang"/>
          <w:lang w:val="en-GB" w:eastAsia="ko-KR"/>
        </w:rPr>
        <w:t>When redundant routes are set up in an IAB network using two separate IP connections for rela</w:t>
      </w:r>
      <w:r w:rsidR="00F62702">
        <w:rPr>
          <w:rFonts w:ascii="Calibri" w:eastAsia="Malgun Gothic" w:hAnsi="Calibri" w:cs="Batang"/>
          <w:lang w:val="en-GB" w:eastAsia="ko-KR"/>
        </w:rPr>
        <w:t>y</w:t>
      </w:r>
      <w:r>
        <w:rPr>
          <w:rFonts w:ascii="Calibri" w:eastAsia="Malgun Gothic" w:hAnsi="Calibri" w:cs="Batang"/>
          <w:lang w:val="en-GB" w:eastAsia="ko-KR"/>
        </w:rPr>
        <w:t xml:space="preserve">ing F1-C or F1-U traffic across the IAB network, it </w:t>
      </w:r>
      <w:r w:rsidR="00255E63">
        <w:rPr>
          <w:rFonts w:ascii="Calibri" w:eastAsia="Malgun Gothic" w:hAnsi="Calibri" w:cs="Batang"/>
          <w:lang w:val="en-GB" w:eastAsia="ko-KR"/>
        </w:rPr>
        <w:t>is up to the donor CU to decide per network implementation</w:t>
      </w:r>
      <w:r>
        <w:rPr>
          <w:rFonts w:ascii="Calibri" w:eastAsia="Malgun Gothic" w:hAnsi="Calibri" w:cs="Batang"/>
          <w:lang w:val="en-GB" w:eastAsia="ko-KR"/>
        </w:rPr>
        <w:t xml:space="preserve"> which PDUs to send across which IP connection. In first implementations of IAB networks, it may be reasonable to assume that the donor CU uses one of these two IP</w:t>
      </w:r>
      <w:r w:rsidR="00F62702">
        <w:rPr>
          <w:rFonts w:ascii="Calibri" w:eastAsia="Malgun Gothic" w:hAnsi="Calibri" w:cs="Batang"/>
          <w:lang w:val="en-GB" w:eastAsia="ko-KR"/>
        </w:rPr>
        <w:t xml:space="preserve"> addresses</w:t>
      </w:r>
      <w:r>
        <w:rPr>
          <w:rFonts w:ascii="Calibri" w:eastAsia="Malgun Gothic" w:hAnsi="Calibri" w:cs="Batang"/>
          <w:lang w:val="en-GB" w:eastAsia="ko-KR"/>
        </w:rPr>
        <w:t xml:space="preserve"> a</w:t>
      </w:r>
      <w:r w:rsidR="00F62702">
        <w:rPr>
          <w:rFonts w:ascii="Calibri" w:eastAsia="Malgun Gothic" w:hAnsi="Calibri" w:cs="Batang"/>
          <w:lang w:val="en-GB" w:eastAsia="ko-KR"/>
        </w:rPr>
        <w:t>s</w:t>
      </w:r>
      <w:r>
        <w:rPr>
          <w:rFonts w:ascii="Calibri" w:eastAsia="Malgun Gothic" w:hAnsi="Calibri" w:cs="Batang"/>
          <w:lang w:val="en-GB" w:eastAsia="ko-KR"/>
        </w:rPr>
        <w:t xml:space="preserve"> the primary</w:t>
      </w:r>
      <w:r w:rsidR="00F62702">
        <w:rPr>
          <w:rFonts w:ascii="Calibri" w:eastAsia="Malgun Gothic" w:hAnsi="Calibri" w:cs="Batang"/>
          <w:lang w:val="en-GB" w:eastAsia="ko-KR"/>
        </w:rPr>
        <w:t xml:space="preserve"> route while </w:t>
      </w:r>
      <w:r>
        <w:rPr>
          <w:rFonts w:ascii="Calibri" w:eastAsia="Malgun Gothic" w:hAnsi="Calibri" w:cs="Batang"/>
          <w:lang w:val="en-GB" w:eastAsia="ko-KR"/>
        </w:rPr>
        <w:t xml:space="preserve">and the second </w:t>
      </w:r>
      <w:r w:rsidR="00F62702">
        <w:rPr>
          <w:rFonts w:ascii="Calibri" w:eastAsia="Malgun Gothic" w:hAnsi="Calibri" w:cs="Batang"/>
          <w:lang w:val="en-GB" w:eastAsia="ko-KR"/>
        </w:rPr>
        <w:t xml:space="preserve">address </w:t>
      </w:r>
      <w:r>
        <w:rPr>
          <w:rFonts w:ascii="Calibri" w:eastAsia="Malgun Gothic" w:hAnsi="Calibri" w:cs="Batang"/>
          <w:lang w:val="en-GB" w:eastAsia="ko-KR"/>
        </w:rPr>
        <w:t xml:space="preserve">is used only as a backup in case of failure on the primary route. Additionally, perhaps the donor CU may use the two IP connections to balance load across the IAB network. For example, if the </w:t>
      </w:r>
      <w:r w:rsidR="00F62702">
        <w:rPr>
          <w:rFonts w:ascii="Calibri" w:eastAsia="Malgun Gothic" w:hAnsi="Calibri" w:cs="Batang"/>
          <w:lang w:val="en-GB" w:eastAsia="ko-KR"/>
        </w:rPr>
        <w:t>primary route is congested</w:t>
      </w:r>
      <w:r>
        <w:rPr>
          <w:rFonts w:ascii="Calibri" w:eastAsia="Malgun Gothic" w:hAnsi="Calibri" w:cs="Batang"/>
          <w:lang w:val="en-GB" w:eastAsia="ko-KR"/>
        </w:rPr>
        <w:t xml:space="preserve">, the donor CU may send PDUs through the secondary IP connection. </w:t>
      </w:r>
    </w:p>
    <w:p w:rsidR="0087543D" w:rsidRPr="00604F3E" w:rsidRDefault="0087543D" w:rsidP="004A7002">
      <w:pPr>
        <w:rPr>
          <w:rFonts w:ascii="Calibri" w:eastAsia="Malgun Gothic" w:hAnsi="Calibri" w:cs="Batang"/>
          <w:b/>
          <w:lang w:val="en-GB" w:eastAsia="ko-KR"/>
        </w:rPr>
      </w:pPr>
      <w:r w:rsidRPr="00604F3E">
        <w:rPr>
          <w:rFonts w:ascii="Calibri" w:eastAsia="Malgun Gothic" w:hAnsi="Calibri" w:cs="Batang"/>
          <w:b/>
          <w:lang w:val="en-GB" w:eastAsia="ko-KR"/>
        </w:rPr>
        <w:t>Observation 1: The donor CU c</w:t>
      </w:r>
      <w:r w:rsidR="00E16C01">
        <w:rPr>
          <w:rFonts w:ascii="Calibri" w:eastAsia="Malgun Gothic" w:hAnsi="Calibri" w:cs="Batang"/>
          <w:b/>
          <w:lang w:val="en-GB" w:eastAsia="ko-KR"/>
        </w:rPr>
        <w:t>an</w:t>
      </w:r>
      <w:r w:rsidR="00F62702" w:rsidRPr="00604F3E">
        <w:rPr>
          <w:rFonts w:ascii="Calibri" w:eastAsia="Malgun Gothic" w:hAnsi="Calibri" w:cs="Batang"/>
          <w:b/>
          <w:lang w:val="en-GB" w:eastAsia="ko-KR"/>
        </w:rPr>
        <w:t xml:space="preserve"> </w:t>
      </w:r>
      <w:r w:rsidR="00E16C01">
        <w:rPr>
          <w:rFonts w:ascii="Calibri" w:eastAsia="Malgun Gothic" w:hAnsi="Calibri" w:cs="Batang"/>
          <w:b/>
          <w:lang w:val="en-GB" w:eastAsia="ko-KR"/>
        </w:rPr>
        <w:t xml:space="preserve">use the </w:t>
      </w:r>
      <w:r w:rsidR="00F62702" w:rsidRPr="00604F3E">
        <w:rPr>
          <w:rFonts w:ascii="Calibri" w:eastAsia="Malgun Gothic" w:hAnsi="Calibri" w:cs="Batang"/>
          <w:b/>
          <w:lang w:val="en-GB" w:eastAsia="ko-KR"/>
        </w:rPr>
        <w:t xml:space="preserve">primary and secondary IP connections </w:t>
      </w:r>
      <w:r w:rsidR="007E26FA">
        <w:rPr>
          <w:rFonts w:ascii="Calibri" w:eastAsia="Malgun Gothic" w:hAnsi="Calibri" w:cs="Batang"/>
          <w:b/>
          <w:lang w:val="en-GB" w:eastAsia="ko-KR"/>
        </w:rPr>
        <w:t xml:space="preserve">to an IAB node </w:t>
      </w:r>
      <w:r w:rsidR="00F62702" w:rsidRPr="00604F3E">
        <w:rPr>
          <w:rFonts w:ascii="Calibri" w:eastAsia="Malgun Gothic" w:hAnsi="Calibri" w:cs="Batang"/>
          <w:b/>
          <w:lang w:val="en-GB" w:eastAsia="ko-KR"/>
        </w:rPr>
        <w:t>for redundancy or load balancing per network implementation.</w:t>
      </w:r>
    </w:p>
    <w:p w:rsidR="00F62702" w:rsidRDefault="00F62702" w:rsidP="004A7002">
      <w:pPr>
        <w:rPr>
          <w:rFonts w:ascii="Calibri" w:eastAsia="Malgun Gothic" w:hAnsi="Calibri" w:cs="Batang"/>
          <w:lang w:val="en-GB" w:eastAsia="ko-KR"/>
        </w:rPr>
      </w:pPr>
      <w:r>
        <w:rPr>
          <w:rFonts w:ascii="Calibri" w:eastAsia="Malgun Gothic" w:hAnsi="Calibri" w:cs="Batang"/>
          <w:lang w:val="en-GB" w:eastAsia="ko-KR"/>
        </w:rPr>
        <w:t xml:space="preserve">Since under this framework it is up to network implementation how the donor CU chooses to use the two IP connections for redundancy or load balancing across the IAB network, if the network vendor so chooses, they could also </w:t>
      </w:r>
      <w:r w:rsidR="00604F3E">
        <w:rPr>
          <w:rFonts w:ascii="Calibri" w:eastAsia="Malgun Gothic" w:hAnsi="Calibri" w:cs="Batang"/>
          <w:lang w:val="en-GB" w:eastAsia="ko-KR"/>
        </w:rPr>
        <w:t>implement more sophisticated techniques. For example, a donor CU could decide to send duplicate copies of the same PDU via the primary and secondary routes. Such duplication would</w:t>
      </w:r>
      <w:r w:rsidR="007A0744">
        <w:rPr>
          <w:rFonts w:ascii="Calibri" w:eastAsia="Malgun Gothic" w:hAnsi="Calibri" w:cs="Batang"/>
          <w:lang w:val="en-GB" w:eastAsia="ko-KR"/>
        </w:rPr>
        <w:t>,</w:t>
      </w:r>
      <w:r w:rsidR="00604F3E">
        <w:rPr>
          <w:rFonts w:ascii="Calibri" w:eastAsia="Malgun Gothic" w:hAnsi="Calibri" w:cs="Batang"/>
          <w:lang w:val="en-GB" w:eastAsia="ko-KR"/>
        </w:rPr>
        <w:t xml:space="preserve"> of course</w:t>
      </w:r>
      <w:r w:rsidR="007A0744">
        <w:rPr>
          <w:rFonts w:ascii="Calibri" w:eastAsia="Malgun Gothic" w:hAnsi="Calibri" w:cs="Batang"/>
          <w:lang w:val="en-GB" w:eastAsia="ko-KR"/>
        </w:rPr>
        <w:t>,</w:t>
      </w:r>
      <w:r w:rsidR="00604F3E">
        <w:rPr>
          <w:rFonts w:ascii="Calibri" w:eastAsia="Malgun Gothic" w:hAnsi="Calibri" w:cs="Batang"/>
          <w:lang w:val="en-GB" w:eastAsia="ko-KR"/>
        </w:rPr>
        <w:t xml:space="preserve"> be per implementation. Correspondingly, at the receiving MT, a duplicate discard functionality would have to be built per-implementation to detect and discard duplicate copies of PDUs received across the primary and secondary RLC backhaul channel. While it is reasonable to assume that initial implementations may not have such level of sophistication, it is also reasonable to conclude that there is no need for Release 16 specifications to state anything to prevent such implemen</w:t>
      </w:r>
      <w:r w:rsidR="00E16C01">
        <w:rPr>
          <w:rFonts w:ascii="Calibri" w:eastAsia="Malgun Gothic" w:hAnsi="Calibri" w:cs="Batang"/>
          <w:lang w:val="en-GB" w:eastAsia="ko-KR"/>
        </w:rPr>
        <w:t>ta</w:t>
      </w:r>
      <w:r w:rsidR="00604F3E">
        <w:rPr>
          <w:rFonts w:ascii="Calibri" w:eastAsia="Malgun Gothic" w:hAnsi="Calibri" w:cs="Batang"/>
          <w:lang w:val="en-GB" w:eastAsia="ko-KR"/>
        </w:rPr>
        <w:t xml:space="preserve">tions. </w:t>
      </w:r>
    </w:p>
    <w:p w:rsidR="00255E63" w:rsidRPr="00E16C01" w:rsidRDefault="00E16C01" w:rsidP="004A7002">
      <w:pPr>
        <w:rPr>
          <w:rFonts w:ascii="Calibri" w:eastAsia="Malgun Gothic" w:hAnsi="Calibri" w:cs="Batang"/>
          <w:b/>
          <w:lang w:val="en-GB" w:eastAsia="ko-KR"/>
        </w:rPr>
      </w:pPr>
      <w:r w:rsidRPr="00E16C01">
        <w:rPr>
          <w:rFonts w:ascii="Calibri" w:eastAsia="Malgun Gothic" w:hAnsi="Calibri" w:cs="Batang"/>
          <w:b/>
          <w:lang w:val="en-GB" w:eastAsia="ko-KR"/>
        </w:rPr>
        <w:t xml:space="preserve">Proposal 1: Release 16 IAB specifications </w:t>
      </w:r>
      <w:r w:rsidR="007A0744">
        <w:rPr>
          <w:rFonts w:ascii="Calibri" w:eastAsia="Malgun Gothic" w:hAnsi="Calibri" w:cs="Batang"/>
          <w:b/>
          <w:lang w:val="en-GB" w:eastAsia="ko-KR"/>
        </w:rPr>
        <w:t>need</w:t>
      </w:r>
      <w:r w:rsidRPr="00E16C01">
        <w:rPr>
          <w:rFonts w:ascii="Calibri" w:eastAsia="Malgun Gothic" w:hAnsi="Calibri" w:cs="Batang"/>
          <w:b/>
          <w:lang w:val="en-GB" w:eastAsia="ko-KR"/>
        </w:rPr>
        <w:t xml:space="preserve"> not restrict how a network vendor chooses to use the primary and secondary IP connections </w:t>
      </w:r>
      <w:r w:rsidR="007E26FA">
        <w:rPr>
          <w:rFonts w:ascii="Calibri" w:eastAsia="Malgun Gothic" w:hAnsi="Calibri" w:cs="Batang"/>
          <w:b/>
          <w:lang w:val="en-GB" w:eastAsia="ko-KR"/>
        </w:rPr>
        <w:t xml:space="preserve">to an IAB node </w:t>
      </w:r>
      <w:r w:rsidRPr="00E16C01">
        <w:rPr>
          <w:rFonts w:ascii="Calibri" w:eastAsia="Malgun Gothic" w:hAnsi="Calibri" w:cs="Batang"/>
          <w:b/>
          <w:lang w:val="en-GB" w:eastAsia="ko-KR"/>
        </w:rPr>
        <w:t xml:space="preserve">for redundancy or load balancing per implementation. </w:t>
      </w:r>
    </w:p>
    <w:p w:rsidR="00255E63" w:rsidRDefault="0066013A" w:rsidP="004A7002">
      <w:pPr>
        <w:rPr>
          <w:rFonts w:ascii="Calibri" w:eastAsia="Malgun Gothic" w:hAnsi="Calibri" w:cs="Batang"/>
          <w:lang w:val="en-GB" w:eastAsia="ko-KR"/>
        </w:rPr>
      </w:pPr>
      <w:r>
        <w:rPr>
          <w:rFonts w:ascii="Calibri" w:eastAsia="Malgun Gothic" w:hAnsi="Calibri" w:cs="Batang"/>
          <w:lang w:val="en-GB" w:eastAsia="ko-KR"/>
        </w:rPr>
        <w:t>Th</w:t>
      </w:r>
      <w:r w:rsidR="00C55D8F">
        <w:rPr>
          <w:rFonts w:ascii="Calibri" w:eastAsia="Malgun Gothic" w:hAnsi="Calibri" w:cs="Batang"/>
          <w:lang w:val="en-GB" w:eastAsia="ko-KR"/>
        </w:rPr>
        <w:t>e</w:t>
      </w:r>
      <w:r>
        <w:rPr>
          <w:rFonts w:ascii="Calibri" w:eastAsia="Malgun Gothic" w:hAnsi="Calibri" w:cs="Batang"/>
          <w:lang w:val="en-GB" w:eastAsia="ko-KR"/>
        </w:rPr>
        <w:t xml:space="preserve"> above discussion also raises the issue that if in the future, IAB standards need to be enhanced to specify transmission of duplicate packets across redundant routes to, for example, increase reliability, 3GPP will need to grapple with the issue of specifying a duplication function and a duplicate discard function at the F1 application level. </w:t>
      </w:r>
    </w:p>
    <w:p w:rsidR="0066013A" w:rsidRPr="0066013A" w:rsidRDefault="0066013A" w:rsidP="004A7002">
      <w:pPr>
        <w:rPr>
          <w:rFonts w:ascii="Calibri" w:eastAsia="Malgun Gothic" w:hAnsi="Calibri" w:cs="Batang"/>
          <w:b/>
          <w:lang w:val="en-GB" w:eastAsia="ko-KR"/>
        </w:rPr>
      </w:pPr>
      <w:r w:rsidRPr="0066013A">
        <w:rPr>
          <w:rFonts w:ascii="Calibri" w:eastAsia="Malgun Gothic" w:hAnsi="Calibri" w:cs="Batang"/>
          <w:b/>
          <w:lang w:val="en-GB" w:eastAsia="ko-KR"/>
        </w:rPr>
        <w:lastRenderedPageBreak/>
        <w:t>Observation 2: If future IAB standards need to specify transmission of duplicate packets across redundant routes, 3GPP will need to grapple with the issue of specifying a duplication function and a duplicate discard function at the F1 application level.</w:t>
      </w:r>
    </w:p>
    <w:p w:rsidR="00B21299" w:rsidRDefault="00AA2AE1" w:rsidP="004A7002">
      <w:pPr>
        <w:rPr>
          <w:rFonts w:ascii="Calibri" w:eastAsia="Malgun Gothic" w:hAnsi="Calibri" w:cs="Batang"/>
          <w:lang w:val="en-GB" w:eastAsia="ko-KR"/>
        </w:rPr>
      </w:pPr>
      <w:r>
        <w:rPr>
          <w:rFonts w:ascii="Calibri" w:eastAsia="Malgun Gothic" w:hAnsi="Calibri" w:cs="Batang"/>
          <w:lang w:val="en-GB" w:eastAsia="ko-KR"/>
        </w:rPr>
        <w:t>In the simple route redundancy case, when one IP connection is used as the primary while the other IP connection is used a secondary backup, it should be</w:t>
      </w:r>
      <w:r w:rsidR="0066013A">
        <w:rPr>
          <w:rFonts w:ascii="Calibri" w:eastAsia="Malgun Gothic" w:hAnsi="Calibri" w:cs="Batang"/>
          <w:lang w:val="en-GB" w:eastAsia="ko-KR"/>
        </w:rPr>
        <w:t xml:space="preserve"> discussed </w:t>
      </w:r>
      <w:r>
        <w:rPr>
          <w:rFonts w:ascii="Calibri" w:eastAsia="Malgun Gothic" w:hAnsi="Calibri" w:cs="Batang"/>
          <w:lang w:val="en-GB" w:eastAsia="ko-KR"/>
        </w:rPr>
        <w:t xml:space="preserve">which of the two IP connections is considered primary vs. secondary. While it may seem that the IP connection corresponding to the RLC backhaul channel on the MCG path should be the primary, </w:t>
      </w:r>
      <w:r w:rsidR="006B6C31">
        <w:rPr>
          <w:rFonts w:ascii="Calibri" w:eastAsia="Malgun Gothic" w:hAnsi="Calibri" w:cs="Batang"/>
          <w:lang w:val="en-GB" w:eastAsia="ko-KR"/>
        </w:rPr>
        <w:t>we need</w:t>
      </w:r>
      <w:r>
        <w:rPr>
          <w:rFonts w:ascii="Calibri" w:eastAsia="Malgun Gothic" w:hAnsi="Calibri" w:cs="Batang"/>
          <w:lang w:val="en-GB" w:eastAsia="ko-KR"/>
        </w:rPr>
        <w:t xml:space="preserve"> to consider </w:t>
      </w:r>
      <w:r w:rsidR="008A4A8B">
        <w:rPr>
          <w:rFonts w:ascii="Calibri" w:eastAsia="Malgun Gothic" w:hAnsi="Calibri" w:cs="Batang"/>
          <w:lang w:val="en-GB" w:eastAsia="ko-KR"/>
        </w:rPr>
        <w:t>how we can reuse existing</w:t>
      </w:r>
      <w:r>
        <w:rPr>
          <w:rFonts w:ascii="Calibri" w:eastAsia="Malgun Gothic" w:hAnsi="Calibri" w:cs="Batang"/>
          <w:lang w:val="en-GB" w:eastAsia="ko-KR"/>
        </w:rPr>
        <w:t xml:space="preserve"> NR DC related RRC signaling in this framework. If the primary path is the IP address corresponding to the MCG path, when there is a radio link failure of this path, the MT of the IAB node needs to be able to report MCG failure to the donor CU. </w:t>
      </w:r>
      <w:r w:rsidR="005749E1">
        <w:rPr>
          <w:rFonts w:ascii="Calibri" w:eastAsia="Malgun Gothic" w:hAnsi="Calibri" w:cs="Batang"/>
          <w:lang w:val="en-GB" w:eastAsia="ko-KR"/>
        </w:rPr>
        <w:t>Per</w:t>
      </w:r>
      <w:r>
        <w:rPr>
          <w:rFonts w:ascii="Calibri" w:eastAsia="Malgun Gothic" w:hAnsi="Calibri" w:cs="Batang"/>
          <w:lang w:val="en-GB" w:eastAsia="ko-KR"/>
        </w:rPr>
        <w:t xml:space="preserve"> current NR DC specifications</w:t>
      </w:r>
      <w:r w:rsidR="00882DEE">
        <w:rPr>
          <w:rFonts w:ascii="Calibri" w:eastAsia="Malgun Gothic" w:hAnsi="Calibri" w:cs="Batang"/>
          <w:lang w:val="en-GB" w:eastAsia="ko-KR"/>
        </w:rPr>
        <w:t>, an MCG failure would result in RRC connection re-establishment procedure by the MT. There is no less disruptive procedure to allow an MT to report MCG failure to the donor CU</w:t>
      </w:r>
      <w:r>
        <w:rPr>
          <w:rFonts w:ascii="Calibri" w:eastAsia="Malgun Gothic" w:hAnsi="Calibri" w:cs="Batang"/>
          <w:lang w:val="en-GB" w:eastAsia="ko-KR"/>
        </w:rPr>
        <w:t>.</w:t>
      </w:r>
      <w:r w:rsidR="008A4A8B">
        <w:rPr>
          <w:rFonts w:ascii="Calibri" w:eastAsia="Malgun Gothic" w:hAnsi="Calibri" w:cs="Batang"/>
          <w:lang w:val="en-GB" w:eastAsia="ko-KR"/>
        </w:rPr>
        <w:t xml:space="preserve"> </w:t>
      </w:r>
      <w:r w:rsidR="00882DEE">
        <w:rPr>
          <w:rFonts w:ascii="Calibri" w:eastAsia="Malgun Gothic" w:hAnsi="Calibri" w:cs="Batang"/>
          <w:lang w:val="en-GB" w:eastAsia="ko-KR"/>
        </w:rPr>
        <w:t xml:space="preserve">However, if there is a failure of the SCG path, existing </w:t>
      </w:r>
      <w:r>
        <w:rPr>
          <w:rFonts w:ascii="Calibri" w:eastAsia="Malgun Gothic" w:hAnsi="Calibri" w:cs="Batang"/>
          <w:lang w:val="en-GB" w:eastAsia="ko-KR"/>
        </w:rPr>
        <w:t xml:space="preserve">NR DC specifications do allow reporting of SCG failure </w:t>
      </w:r>
      <w:r w:rsidR="008A4A8B">
        <w:rPr>
          <w:rFonts w:ascii="Calibri" w:eastAsia="Malgun Gothic" w:hAnsi="Calibri" w:cs="Batang"/>
          <w:lang w:val="en-GB" w:eastAsia="ko-KR"/>
        </w:rPr>
        <w:t>via</w:t>
      </w:r>
      <w:r>
        <w:rPr>
          <w:rFonts w:ascii="Calibri" w:eastAsia="Malgun Gothic" w:hAnsi="Calibri" w:cs="Batang"/>
          <w:lang w:val="en-GB" w:eastAsia="ko-KR"/>
        </w:rPr>
        <w:t xml:space="preserve"> the MCG path. This means that in a </w:t>
      </w:r>
      <w:r w:rsidR="00B21299">
        <w:rPr>
          <w:rFonts w:ascii="Calibri" w:eastAsia="Malgun Gothic" w:hAnsi="Calibri" w:cs="Batang"/>
          <w:lang w:val="en-GB" w:eastAsia="ko-KR"/>
        </w:rPr>
        <w:t xml:space="preserve">simple </w:t>
      </w:r>
      <w:r>
        <w:rPr>
          <w:rFonts w:ascii="Calibri" w:eastAsia="Malgun Gothic" w:hAnsi="Calibri" w:cs="Batang"/>
          <w:lang w:val="en-GB" w:eastAsia="ko-KR"/>
        </w:rPr>
        <w:t xml:space="preserve">route redundancy scenario, the donor CU should always use the IP address corresponding to the SCG path as the primary route and the IP address corresponding to the MCG </w:t>
      </w:r>
      <w:r w:rsidR="008A4A8B">
        <w:rPr>
          <w:rFonts w:ascii="Calibri" w:eastAsia="Malgun Gothic" w:hAnsi="Calibri" w:cs="Batang"/>
          <w:lang w:val="en-GB" w:eastAsia="ko-KR"/>
        </w:rPr>
        <w:t>path</w:t>
      </w:r>
      <w:r>
        <w:rPr>
          <w:rFonts w:ascii="Calibri" w:eastAsia="Malgun Gothic" w:hAnsi="Calibri" w:cs="Batang"/>
          <w:lang w:val="en-GB" w:eastAsia="ko-KR"/>
        </w:rPr>
        <w:t xml:space="preserve"> as the backup or recovery route to allow the MT of the IAB node to report </w:t>
      </w:r>
      <w:r w:rsidR="00B21299">
        <w:rPr>
          <w:rFonts w:ascii="Calibri" w:eastAsia="Malgun Gothic" w:hAnsi="Calibri" w:cs="Batang"/>
          <w:lang w:val="en-GB" w:eastAsia="ko-KR"/>
        </w:rPr>
        <w:t>path failure using existing NR DC procedures.</w:t>
      </w:r>
    </w:p>
    <w:p w:rsidR="0066013A" w:rsidRPr="00B21299" w:rsidRDefault="00B21299" w:rsidP="004A7002">
      <w:pPr>
        <w:rPr>
          <w:rFonts w:ascii="Calibri" w:eastAsia="Malgun Gothic" w:hAnsi="Calibri" w:cs="Batang"/>
          <w:b/>
          <w:lang w:val="en-GB" w:eastAsia="ko-KR"/>
        </w:rPr>
      </w:pPr>
      <w:r w:rsidRPr="00B21299">
        <w:rPr>
          <w:rFonts w:ascii="Calibri" w:eastAsia="Malgun Gothic" w:hAnsi="Calibri" w:cs="Batang"/>
          <w:b/>
          <w:lang w:val="en-GB" w:eastAsia="ko-KR"/>
        </w:rPr>
        <w:t xml:space="preserve">Proposal 2: </w:t>
      </w:r>
      <w:r w:rsidR="0066013A" w:rsidRPr="00B21299">
        <w:rPr>
          <w:rFonts w:ascii="Calibri" w:eastAsia="Malgun Gothic" w:hAnsi="Calibri" w:cs="Batang"/>
          <w:b/>
          <w:lang w:val="en-GB" w:eastAsia="ko-KR"/>
        </w:rPr>
        <w:t xml:space="preserve"> </w:t>
      </w:r>
      <w:r w:rsidRPr="00B21299">
        <w:rPr>
          <w:rFonts w:ascii="Calibri" w:eastAsia="Malgun Gothic" w:hAnsi="Calibri" w:cs="Batang"/>
          <w:b/>
          <w:lang w:val="en-GB" w:eastAsia="ko-KR"/>
        </w:rPr>
        <w:t>In a simple route redundancy scenario, the donor CU should always use the IP address corresponding to the SCG path as the primary route and the IP address corresponding to the MCG address as the backup or recovery route to allow the MT of the IAB node to report path failure using existing NR DC procedures.</w:t>
      </w:r>
    </w:p>
    <w:p w:rsidR="00706685" w:rsidRDefault="008A4A8B" w:rsidP="004A7002">
      <w:pPr>
        <w:rPr>
          <w:rFonts w:ascii="Calibri" w:eastAsia="Malgun Gothic" w:hAnsi="Calibri" w:cs="Batang"/>
          <w:lang w:val="en-GB" w:eastAsia="ko-KR"/>
        </w:rPr>
      </w:pPr>
      <w:r>
        <w:rPr>
          <w:rFonts w:ascii="Calibri" w:eastAsia="Malgun Gothic" w:hAnsi="Calibri" w:cs="Batang"/>
          <w:lang w:val="en-GB" w:eastAsia="ko-KR"/>
        </w:rPr>
        <w:t>Correspondingly, after there is an SCG failure causing the donor CU to switch packet transmission to the secondary IP address corresponding to the MCG path, if the donor CU is able to establish another redundant route</w:t>
      </w:r>
      <w:r w:rsidR="006F73F7">
        <w:rPr>
          <w:rFonts w:ascii="Calibri" w:eastAsia="Malgun Gothic" w:hAnsi="Calibri" w:cs="Batang"/>
          <w:lang w:val="en-GB" w:eastAsia="ko-KR"/>
        </w:rPr>
        <w:t>:</w:t>
      </w:r>
    </w:p>
    <w:p w:rsidR="008A4A8B" w:rsidRPr="00706685" w:rsidRDefault="00706685" w:rsidP="00DB75C2">
      <w:pPr>
        <w:pStyle w:val="ListParagraph"/>
        <w:numPr>
          <w:ilvl w:val="0"/>
          <w:numId w:val="24"/>
        </w:numPr>
        <w:rPr>
          <w:rFonts w:ascii="Calibri" w:eastAsia="Malgun Gothic" w:hAnsi="Calibri" w:cs="Batang"/>
          <w:lang w:val="en-GB" w:eastAsia="ko-KR"/>
        </w:rPr>
      </w:pPr>
      <w:r>
        <w:rPr>
          <w:rFonts w:ascii="Calibri" w:eastAsia="Malgun Gothic" w:hAnsi="Calibri" w:cs="Batang"/>
          <w:lang w:val="en-GB" w:eastAsia="ko-KR"/>
        </w:rPr>
        <w:t>The</w:t>
      </w:r>
      <w:r w:rsidR="008A4A8B" w:rsidRPr="00706685">
        <w:rPr>
          <w:rFonts w:ascii="Calibri" w:eastAsia="Malgun Gothic" w:hAnsi="Calibri" w:cs="Batang"/>
          <w:lang w:val="en-GB" w:eastAsia="ko-KR"/>
        </w:rPr>
        <w:t xml:space="preserve"> new redundant route corresponding to the SCG path should be made the new primary routing path, or</w:t>
      </w:r>
    </w:p>
    <w:p w:rsidR="008A4A8B" w:rsidRDefault="008A4A8B" w:rsidP="008A4A8B">
      <w:pPr>
        <w:pStyle w:val="ListParagraph"/>
        <w:numPr>
          <w:ilvl w:val="0"/>
          <w:numId w:val="24"/>
        </w:numPr>
        <w:rPr>
          <w:rFonts w:ascii="Calibri" w:eastAsia="Malgun Gothic" w:hAnsi="Calibri" w:cs="Batang"/>
          <w:lang w:val="en-GB" w:eastAsia="ko-KR"/>
        </w:rPr>
      </w:pPr>
      <w:r>
        <w:rPr>
          <w:rFonts w:ascii="Calibri" w:eastAsia="Malgun Gothic" w:hAnsi="Calibri" w:cs="Batang"/>
          <w:lang w:val="en-GB" w:eastAsia="ko-KR"/>
        </w:rPr>
        <w:t>The donor CU</w:t>
      </w:r>
      <w:r w:rsidR="00706685">
        <w:rPr>
          <w:rFonts w:ascii="Calibri" w:eastAsia="Malgun Gothic" w:hAnsi="Calibri" w:cs="Batang"/>
          <w:lang w:val="en-GB" w:eastAsia="ko-KR"/>
        </w:rPr>
        <w:t xml:space="preserve"> may need to consider executing appropriate RRC procedures to swap the MT’s MCG and SCG</w:t>
      </w:r>
      <w:r>
        <w:rPr>
          <w:rFonts w:ascii="Calibri" w:eastAsia="Malgun Gothic" w:hAnsi="Calibri" w:cs="Batang"/>
          <w:lang w:val="en-GB" w:eastAsia="ko-KR"/>
        </w:rPr>
        <w:t xml:space="preserve"> </w:t>
      </w:r>
      <w:r w:rsidR="00706685">
        <w:rPr>
          <w:rFonts w:ascii="Calibri" w:eastAsia="Malgun Gothic" w:hAnsi="Calibri" w:cs="Batang"/>
          <w:lang w:val="en-GB" w:eastAsia="ko-KR"/>
        </w:rPr>
        <w:t>so that the primary IP connection continues to correspond to the SCG path.</w:t>
      </w:r>
    </w:p>
    <w:p w:rsidR="00431089" w:rsidRPr="00431089" w:rsidRDefault="00431089" w:rsidP="00431089">
      <w:pPr>
        <w:rPr>
          <w:rFonts w:ascii="Calibri" w:eastAsia="Malgun Gothic" w:hAnsi="Calibri" w:cs="Batang"/>
          <w:b/>
          <w:lang w:val="en-GB" w:eastAsia="ko-KR"/>
        </w:rPr>
      </w:pPr>
      <w:r w:rsidRPr="00431089">
        <w:rPr>
          <w:rFonts w:ascii="Calibri" w:eastAsia="Malgun Gothic" w:hAnsi="Calibri" w:cs="Batang"/>
          <w:b/>
          <w:lang w:val="en-GB" w:eastAsia="ko-KR"/>
        </w:rPr>
        <w:t>Proposal 3: RAN2 should consider what, if any, specification should be made to ensure that the donor CU always uses the SCG path as the primary route in the route redundancy case.</w:t>
      </w:r>
    </w:p>
    <w:p w:rsidR="001B2705" w:rsidRDefault="001B2705" w:rsidP="001B2705">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Route Redundancy in NSA Mode</w:t>
      </w:r>
    </w:p>
    <w:p w:rsidR="001B2705" w:rsidRPr="00402399" w:rsidRDefault="005249A6" w:rsidP="001B2705">
      <w:pPr>
        <w:rPr>
          <w:rFonts w:asciiTheme="minorHAnsi" w:hAnsiTheme="minorHAnsi"/>
        </w:rPr>
      </w:pPr>
      <w:r w:rsidRPr="00402399">
        <w:rPr>
          <w:rFonts w:asciiTheme="minorHAnsi" w:hAnsiTheme="minorHAnsi"/>
        </w:rPr>
        <w:t xml:space="preserve">As discussed </w:t>
      </w:r>
      <w:r w:rsidR="002F1C6C" w:rsidRPr="00402399">
        <w:rPr>
          <w:rFonts w:asciiTheme="minorHAnsi" w:hAnsiTheme="minorHAnsi"/>
        </w:rPr>
        <w:t>above, r</w:t>
      </w:r>
      <w:r w:rsidR="001B2705" w:rsidRPr="00402399">
        <w:rPr>
          <w:rFonts w:asciiTheme="minorHAnsi" w:hAnsiTheme="minorHAnsi"/>
        </w:rPr>
        <w:t xml:space="preserve">oute redundancy in an IAB network </w:t>
      </w:r>
      <w:r w:rsidR="002F1C6C" w:rsidRPr="00402399">
        <w:rPr>
          <w:rFonts w:asciiTheme="minorHAnsi" w:hAnsiTheme="minorHAnsi"/>
        </w:rPr>
        <w:t xml:space="preserve">can be achieved using the NR DC framework. </w:t>
      </w:r>
      <w:r w:rsidR="00402399">
        <w:rPr>
          <w:rFonts w:asciiTheme="minorHAnsi" w:hAnsiTheme="minorHAnsi"/>
        </w:rPr>
        <w:t>However, w</w:t>
      </w:r>
      <w:r w:rsidR="001B2705" w:rsidRPr="00402399">
        <w:rPr>
          <w:rFonts w:asciiTheme="minorHAnsi" w:hAnsiTheme="minorHAnsi"/>
        </w:rPr>
        <w:t xml:space="preserve">hen IAB is deployed in a non-standalone (NSA) architecture, the MT operates in EN-DC mode with the LTE </w:t>
      </w:r>
      <w:proofErr w:type="spellStart"/>
      <w:r w:rsidR="001B2705" w:rsidRPr="00402399">
        <w:rPr>
          <w:rFonts w:asciiTheme="minorHAnsi" w:hAnsiTheme="minorHAnsi"/>
        </w:rPr>
        <w:t>eNB</w:t>
      </w:r>
      <w:proofErr w:type="spellEnd"/>
      <w:r w:rsidR="001B2705" w:rsidRPr="00402399">
        <w:rPr>
          <w:rFonts w:asciiTheme="minorHAnsi" w:hAnsiTheme="minorHAnsi"/>
        </w:rPr>
        <w:t xml:space="preserve"> as MCG and NR </w:t>
      </w:r>
      <w:proofErr w:type="spellStart"/>
      <w:r w:rsidR="001B2705" w:rsidRPr="00402399">
        <w:rPr>
          <w:rFonts w:asciiTheme="minorHAnsi" w:hAnsiTheme="minorHAnsi"/>
        </w:rPr>
        <w:t>gNB</w:t>
      </w:r>
      <w:proofErr w:type="spellEnd"/>
      <w:r w:rsidR="001B2705" w:rsidRPr="00402399">
        <w:rPr>
          <w:rFonts w:asciiTheme="minorHAnsi" w:hAnsiTheme="minorHAnsi"/>
        </w:rPr>
        <w:t xml:space="preserve"> as SCG</w:t>
      </w:r>
      <w:r w:rsidR="002F1C6C" w:rsidRPr="00402399">
        <w:rPr>
          <w:rFonts w:asciiTheme="minorHAnsi" w:hAnsiTheme="minorHAnsi"/>
        </w:rPr>
        <w:t>. Hence,</w:t>
      </w:r>
      <w:r w:rsidR="001B2705" w:rsidRPr="00402399">
        <w:rPr>
          <w:rFonts w:asciiTheme="minorHAnsi" w:hAnsiTheme="minorHAnsi"/>
        </w:rPr>
        <w:t xml:space="preserve"> both DC legs at the MT are already utilized. This leaves no DC leg available to provide route redundancy for the IAB node, in the way it could be provided for an IAB node deployed in SA mode as shown in Figure 1. In this contribution we discuss issues related to solving this problem. </w:t>
      </w:r>
    </w:p>
    <w:p w:rsidR="001B2705" w:rsidRPr="00402399" w:rsidRDefault="001B2705" w:rsidP="001B2705">
      <w:pPr>
        <w:rPr>
          <w:rFonts w:asciiTheme="minorHAnsi" w:hAnsiTheme="minorHAnsi"/>
          <w:b/>
        </w:rPr>
      </w:pPr>
      <w:r w:rsidRPr="00402399">
        <w:rPr>
          <w:rFonts w:asciiTheme="minorHAnsi" w:hAnsiTheme="minorHAnsi"/>
          <w:b/>
        </w:rPr>
        <w:t xml:space="preserve">Observation </w:t>
      </w:r>
      <w:r w:rsidR="00402399">
        <w:rPr>
          <w:rFonts w:asciiTheme="minorHAnsi" w:hAnsiTheme="minorHAnsi"/>
          <w:b/>
        </w:rPr>
        <w:t>3</w:t>
      </w:r>
      <w:r w:rsidRPr="00402399">
        <w:rPr>
          <w:rFonts w:asciiTheme="minorHAnsi" w:hAnsiTheme="minorHAnsi"/>
          <w:b/>
        </w:rPr>
        <w:t xml:space="preserve">: IAB nodes operating in NSA mode cannot utilize </w:t>
      </w:r>
      <w:r w:rsidR="00402399">
        <w:rPr>
          <w:rFonts w:asciiTheme="minorHAnsi" w:hAnsiTheme="minorHAnsi"/>
          <w:b/>
        </w:rPr>
        <w:t>the NR DC framework</w:t>
      </w:r>
      <w:r w:rsidRPr="00402399">
        <w:rPr>
          <w:rFonts w:asciiTheme="minorHAnsi" w:hAnsiTheme="minorHAnsi"/>
          <w:b/>
        </w:rPr>
        <w:t xml:space="preserve"> to provide route redundancy.</w:t>
      </w:r>
    </w:p>
    <w:p w:rsidR="00562645" w:rsidRPr="00402399" w:rsidRDefault="002042FF" w:rsidP="00562645">
      <w:pPr>
        <w:jc w:val="center"/>
        <w:rPr>
          <w:rFonts w:asciiTheme="minorHAnsi" w:hAnsiTheme="minorHAnsi"/>
        </w:rPr>
      </w:pPr>
      <w:r>
        <w:rPr>
          <w:rFonts w:asciiTheme="minorHAnsi" w:hAnsiTheme="minorHAnsi"/>
          <w:noProof/>
        </w:rPr>
        <w:lastRenderedPageBreak/>
        <w:drawing>
          <wp:inline distT="0" distB="0" distL="0" distR="0" wp14:anchorId="56ECACEB">
            <wp:extent cx="3125338" cy="4142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1464" cy="4151091"/>
                    </a:xfrm>
                    <a:prstGeom prst="rect">
                      <a:avLst/>
                    </a:prstGeom>
                    <a:noFill/>
                  </pic:spPr>
                </pic:pic>
              </a:graphicData>
            </a:graphic>
          </wp:inline>
        </w:drawing>
      </w:r>
    </w:p>
    <w:p w:rsidR="00562645" w:rsidRPr="00402399" w:rsidRDefault="00562645" w:rsidP="00562645">
      <w:pPr>
        <w:jc w:val="center"/>
        <w:rPr>
          <w:rFonts w:asciiTheme="minorHAnsi" w:hAnsiTheme="minorHAnsi"/>
        </w:rPr>
      </w:pPr>
      <w:r w:rsidRPr="00402399">
        <w:rPr>
          <w:rFonts w:asciiTheme="minorHAnsi" w:hAnsiTheme="minorHAnsi"/>
        </w:rPr>
        <w:t>Figure 2: IAB NSA Architecture</w:t>
      </w:r>
    </w:p>
    <w:p w:rsidR="00562645" w:rsidRPr="00402399" w:rsidRDefault="00995D90" w:rsidP="00562645">
      <w:pPr>
        <w:rPr>
          <w:rFonts w:asciiTheme="minorHAnsi" w:hAnsiTheme="minorHAnsi"/>
        </w:rPr>
      </w:pPr>
      <w:r>
        <w:rPr>
          <w:rFonts w:asciiTheme="minorHAnsi" w:hAnsiTheme="minorHAnsi"/>
        </w:rPr>
        <w:t>One</w:t>
      </w:r>
      <w:r w:rsidR="00562645" w:rsidRPr="00402399">
        <w:rPr>
          <w:rFonts w:asciiTheme="minorHAnsi" w:hAnsiTheme="minorHAnsi"/>
        </w:rPr>
        <w:t xml:space="preserve"> possible solution to the problem of providing route redundancy to IAB nodes operating in NSA mod</w:t>
      </w:r>
      <w:r w:rsidR="00F82906">
        <w:rPr>
          <w:rFonts w:asciiTheme="minorHAnsi" w:hAnsiTheme="minorHAnsi"/>
        </w:rPr>
        <w:t xml:space="preserve">e is to leverage the </w:t>
      </w:r>
      <w:r w:rsidR="00562645" w:rsidRPr="00402399">
        <w:rPr>
          <w:rFonts w:asciiTheme="minorHAnsi" w:hAnsiTheme="minorHAnsi"/>
        </w:rPr>
        <w:t>Fast SCG change</w:t>
      </w:r>
      <w:r w:rsidR="00F82906">
        <w:rPr>
          <w:rFonts w:asciiTheme="minorHAnsi" w:hAnsiTheme="minorHAnsi"/>
        </w:rPr>
        <w:t xml:space="preserve"> feature. </w:t>
      </w:r>
      <w:r w:rsidR="00562645" w:rsidRPr="00402399">
        <w:rPr>
          <w:rFonts w:asciiTheme="minorHAnsi" w:hAnsiTheme="minorHAnsi"/>
        </w:rPr>
        <w:t>As part of the WI on mobility enhancements [</w:t>
      </w:r>
      <w:r w:rsidR="00802F47">
        <w:rPr>
          <w:rFonts w:asciiTheme="minorHAnsi" w:hAnsiTheme="minorHAnsi"/>
        </w:rPr>
        <w:t>1</w:t>
      </w:r>
      <w:r w:rsidR="00562645" w:rsidRPr="00402399">
        <w:rPr>
          <w:rFonts w:asciiTheme="minorHAnsi" w:hAnsiTheme="minorHAnsi"/>
        </w:rPr>
        <w:t>], RAN2 is working o</w:t>
      </w:r>
      <w:r w:rsidR="008A3ABF">
        <w:rPr>
          <w:rFonts w:asciiTheme="minorHAnsi" w:hAnsiTheme="minorHAnsi"/>
        </w:rPr>
        <w:t>n</w:t>
      </w:r>
      <w:r w:rsidR="00562645" w:rsidRPr="00402399">
        <w:rPr>
          <w:rFonts w:asciiTheme="minorHAnsi" w:hAnsiTheme="minorHAnsi"/>
        </w:rPr>
        <w:t xml:space="preserve"> solutions to reduce interruption time during HO/SCG change as described in the WI objectives below: </w:t>
      </w:r>
    </w:p>
    <w:p w:rsidR="00562645" w:rsidRPr="00402399" w:rsidRDefault="00562645" w:rsidP="00562645">
      <w:pPr>
        <w:pStyle w:val="B1"/>
        <w:numPr>
          <w:ilvl w:val="0"/>
          <w:numId w:val="23"/>
        </w:numPr>
        <w:textAlignment w:val="auto"/>
        <w:rPr>
          <w:rFonts w:asciiTheme="minorHAnsi" w:hAnsiTheme="minorHAnsi"/>
          <w:lang w:val="en-US" w:eastAsia="ja-JP"/>
        </w:rPr>
      </w:pPr>
      <w:r w:rsidRPr="00402399">
        <w:rPr>
          <w:rFonts w:asciiTheme="minorHAnsi" w:hAnsiTheme="minorHAnsi"/>
          <w:lang w:val="en-US" w:eastAsia="ja-JP"/>
        </w:rPr>
        <w:t xml:space="preserve">To study solution(s) to reduce interruption time during HO/SCG change focusing on the following identified solutions but not limited. </w:t>
      </w:r>
    </w:p>
    <w:p w:rsidR="00562645" w:rsidRPr="00402399" w:rsidRDefault="00562645" w:rsidP="00562645">
      <w:pPr>
        <w:pStyle w:val="B1"/>
        <w:numPr>
          <w:ilvl w:val="1"/>
          <w:numId w:val="23"/>
        </w:numPr>
        <w:textAlignment w:val="auto"/>
        <w:rPr>
          <w:rFonts w:asciiTheme="minorHAnsi" w:hAnsiTheme="minorHAnsi"/>
          <w:lang w:val="en-US" w:eastAsia="ja-JP"/>
        </w:rPr>
      </w:pPr>
      <w:r w:rsidRPr="00402399">
        <w:rPr>
          <w:rFonts w:asciiTheme="minorHAnsi" w:hAnsiTheme="minorHAnsi"/>
          <w:lang w:eastAsia="ja-JP"/>
        </w:rPr>
        <w:t xml:space="preserve">Handover/SCG change with simultaneous connectivity with source cell and target cell. </w:t>
      </w:r>
    </w:p>
    <w:p w:rsidR="00562645" w:rsidRPr="00402399" w:rsidRDefault="00562645" w:rsidP="00562645">
      <w:pPr>
        <w:pStyle w:val="B1"/>
        <w:numPr>
          <w:ilvl w:val="1"/>
          <w:numId w:val="23"/>
        </w:numPr>
        <w:textAlignment w:val="auto"/>
        <w:rPr>
          <w:rFonts w:asciiTheme="minorHAnsi" w:hAnsiTheme="minorHAnsi"/>
          <w:lang w:eastAsia="ja-JP"/>
        </w:rPr>
      </w:pPr>
      <w:r w:rsidRPr="00402399">
        <w:rPr>
          <w:rFonts w:asciiTheme="minorHAnsi" w:hAnsiTheme="minorHAnsi"/>
          <w:lang w:eastAsia="ja-JP"/>
        </w:rPr>
        <w:t xml:space="preserve">Make-before-break </w:t>
      </w:r>
    </w:p>
    <w:p w:rsidR="00562645" w:rsidRPr="00402399" w:rsidRDefault="00562645" w:rsidP="00562645">
      <w:pPr>
        <w:pStyle w:val="B1"/>
        <w:numPr>
          <w:ilvl w:val="1"/>
          <w:numId w:val="23"/>
        </w:numPr>
        <w:textAlignment w:val="auto"/>
        <w:rPr>
          <w:rFonts w:asciiTheme="minorHAnsi" w:hAnsiTheme="minorHAnsi"/>
          <w:lang w:eastAsia="ja-JP"/>
        </w:rPr>
      </w:pPr>
      <w:r w:rsidRPr="00402399">
        <w:rPr>
          <w:rFonts w:asciiTheme="minorHAnsi" w:hAnsiTheme="minorHAnsi" w:cs="Calibri"/>
          <w:bCs/>
          <w:lang w:eastAsia="zh-CN"/>
        </w:rPr>
        <w:t xml:space="preserve">RACH-less handover </w:t>
      </w:r>
    </w:p>
    <w:p w:rsidR="00562645" w:rsidRPr="00402399" w:rsidRDefault="00562645" w:rsidP="00562645">
      <w:pPr>
        <w:rPr>
          <w:rFonts w:asciiTheme="minorHAnsi" w:hAnsiTheme="minorHAnsi"/>
        </w:rPr>
      </w:pPr>
      <w:r w:rsidRPr="00402399">
        <w:rPr>
          <w:rFonts w:asciiTheme="minorHAnsi" w:hAnsiTheme="minorHAnsi"/>
        </w:rPr>
        <w:t xml:space="preserve">Since multiconnectivity at the MT cannot be utilized to provide route redundancy for NSA-based IAB nodes, the solutions being explored by RAN2 to minimize or eliminate interruption time during SCG change could be considered. With such solutions, the MT’s user plane could be fast-switched from the SCG corresponding to one route, to the SCG corresponding to an already identified alternate route. So even though two redundant routes cannot be simultaneously be configured for NSA-mode IAB nodes, it may still be possible to switch quickly from one route to another route without interruption.  </w:t>
      </w:r>
    </w:p>
    <w:p w:rsidR="00562645" w:rsidRDefault="00562645" w:rsidP="00562645">
      <w:pPr>
        <w:rPr>
          <w:rFonts w:asciiTheme="minorHAnsi" w:hAnsiTheme="minorHAnsi"/>
          <w:b/>
        </w:rPr>
      </w:pPr>
      <w:r w:rsidRPr="00402399">
        <w:rPr>
          <w:rFonts w:asciiTheme="minorHAnsi" w:hAnsiTheme="minorHAnsi"/>
          <w:b/>
        </w:rPr>
        <w:t xml:space="preserve">Proposal </w:t>
      </w:r>
      <w:r w:rsidR="00431089">
        <w:rPr>
          <w:rFonts w:asciiTheme="minorHAnsi" w:hAnsiTheme="minorHAnsi"/>
          <w:b/>
        </w:rPr>
        <w:t>4</w:t>
      </w:r>
      <w:r w:rsidRPr="00402399">
        <w:rPr>
          <w:rFonts w:asciiTheme="minorHAnsi" w:hAnsiTheme="minorHAnsi"/>
          <w:b/>
        </w:rPr>
        <w:t>: 3GPP should consider the use of fast SCG change solutions to provide rapid path switching between redundant routes preconfigured for NSA-mode IAB nodes.</w:t>
      </w:r>
    </w:p>
    <w:p w:rsidR="00402399" w:rsidRPr="00402399" w:rsidRDefault="00402399" w:rsidP="00562645">
      <w:pPr>
        <w:rPr>
          <w:rFonts w:asciiTheme="minorHAnsi" w:hAnsiTheme="minorHAnsi"/>
          <w:b/>
        </w:rPr>
      </w:pP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Conclusion</w:t>
      </w:r>
      <w:bookmarkStart w:id="2" w:name="_GoBack"/>
      <w:bookmarkEnd w:id="2"/>
    </w:p>
    <w:p w:rsidR="004A7002" w:rsidRPr="001B2250" w:rsidRDefault="00F82906" w:rsidP="004A7002">
      <w:pPr>
        <w:pStyle w:val="maintext"/>
        <w:ind w:firstLineChars="0" w:firstLine="0"/>
        <w:rPr>
          <w:rFonts w:ascii="Calibri" w:hAnsi="Calibri"/>
        </w:rPr>
      </w:pPr>
      <w:r>
        <w:rPr>
          <w:rFonts w:ascii="Calibri" w:hAnsi="Calibri"/>
        </w:rPr>
        <w:t>In this contribution we discuss various aspects related to using NR DC for route redundancy and load balancing for IAB. The following observations and conclusions were offered for consideration:</w:t>
      </w:r>
      <w:r w:rsidR="004A7002">
        <w:rPr>
          <w:rFonts w:ascii="Calibri" w:hAnsi="Calibri"/>
        </w:rPr>
        <w:t xml:space="preserve"> </w:t>
      </w:r>
    </w:p>
    <w:p w:rsidR="00AE7B02" w:rsidRPr="00604F3E" w:rsidRDefault="00AE7B02" w:rsidP="00AE7B02">
      <w:pPr>
        <w:rPr>
          <w:rFonts w:ascii="Calibri" w:eastAsia="Malgun Gothic" w:hAnsi="Calibri" w:cs="Batang"/>
          <w:b/>
          <w:lang w:val="en-GB" w:eastAsia="ko-KR"/>
        </w:rPr>
      </w:pPr>
      <w:r w:rsidRPr="00604F3E">
        <w:rPr>
          <w:rFonts w:ascii="Calibri" w:eastAsia="Malgun Gothic" w:hAnsi="Calibri" w:cs="Batang"/>
          <w:b/>
          <w:lang w:val="en-GB" w:eastAsia="ko-KR"/>
        </w:rPr>
        <w:t>Observation 1: The donor CU c</w:t>
      </w:r>
      <w:r>
        <w:rPr>
          <w:rFonts w:ascii="Calibri" w:eastAsia="Malgun Gothic" w:hAnsi="Calibri" w:cs="Batang"/>
          <w:b/>
          <w:lang w:val="en-GB" w:eastAsia="ko-KR"/>
        </w:rPr>
        <w:t>an</w:t>
      </w:r>
      <w:r w:rsidRPr="00604F3E">
        <w:rPr>
          <w:rFonts w:ascii="Calibri" w:eastAsia="Malgun Gothic" w:hAnsi="Calibri" w:cs="Batang"/>
          <w:b/>
          <w:lang w:val="en-GB" w:eastAsia="ko-KR"/>
        </w:rPr>
        <w:t xml:space="preserve"> </w:t>
      </w:r>
      <w:r>
        <w:rPr>
          <w:rFonts w:ascii="Calibri" w:eastAsia="Malgun Gothic" w:hAnsi="Calibri" w:cs="Batang"/>
          <w:b/>
          <w:lang w:val="en-GB" w:eastAsia="ko-KR"/>
        </w:rPr>
        <w:t xml:space="preserve">use the </w:t>
      </w:r>
      <w:r w:rsidRPr="00604F3E">
        <w:rPr>
          <w:rFonts w:ascii="Calibri" w:eastAsia="Malgun Gothic" w:hAnsi="Calibri" w:cs="Batang"/>
          <w:b/>
          <w:lang w:val="en-GB" w:eastAsia="ko-KR"/>
        </w:rPr>
        <w:t xml:space="preserve">primary and secondary IP connections </w:t>
      </w:r>
      <w:r>
        <w:rPr>
          <w:rFonts w:ascii="Calibri" w:eastAsia="Malgun Gothic" w:hAnsi="Calibri" w:cs="Batang"/>
          <w:b/>
          <w:lang w:val="en-GB" w:eastAsia="ko-KR"/>
        </w:rPr>
        <w:t xml:space="preserve">to an IAB node </w:t>
      </w:r>
      <w:r w:rsidRPr="00604F3E">
        <w:rPr>
          <w:rFonts w:ascii="Calibri" w:eastAsia="Malgun Gothic" w:hAnsi="Calibri" w:cs="Batang"/>
          <w:b/>
          <w:lang w:val="en-GB" w:eastAsia="ko-KR"/>
        </w:rPr>
        <w:t>for redundancy or load balancing per network implementation.</w:t>
      </w:r>
    </w:p>
    <w:p w:rsidR="00AE7B02" w:rsidRPr="0066013A" w:rsidRDefault="00AE7B02" w:rsidP="00AE7B02">
      <w:pPr>
        <w:rPr>
          <w:rFonts w:ascii="Calibri" w:eastAsia="Malgun Gothic" w:hAnsi="Calibri" w:cs="Batang"/>
          <w:b/>
          <w:lang w:val="en-GB" w:eastAsia="ko-KR"/>
        </w:rPr>
      </w:pPr>
      <w:r w:rsidRPr="0066013A">
        <w:rPr>
          <w:rFonts w:ascii="Calibri" w:eastAsia="Malgun Gothic" w:hAnsi="Calibri" w:cs="Batang"/>
          <w:b/>
          <w:lang w:val="en-GB" w:eastAsia="ko-KR"/>
        </w:rPr>
        <w:t>Observation 2: If future IAB standards need to specify transmission of duplicate packets across redundant routes, 3GPP will need to grapple with the issue of specifying a duplication function and a duplicate discard function at the F1 application level.</w:t>
      </w:r>
    </w:p>
    <w:p w:rsidR="00AE7B02" w:rsidRPr="00402399" w:rsidRDefault="00AE7B02" w:rsidP="00AE7B02">
      <w:pPr>
        <w:rPr>
          <w:rFonts w:asciiTheme="minorHAnsi" w:hAnsiTheme="minorHAnsi"/>
          <w:b/>
        </w:rPr>
      </w:pPr>
      <w:r w:rsidRPr="00402399">
        <w:rPr>
          <w:rFonts w:asciiTheme="minorHAnsi" w:hAnsiTheme="minorHAnsi"/>
          <w:b/>
        </w:rPr>
        <w:t xml:space="preserve">Observation </w:t>
      </w:r>
      <w:r>
        <w:rPr>
          <w:rFonts w:asciiTheme="minorHAnsi" w:hAnsiTheme="minorHAnsi"/>
          <w:b/>
        </w:rPr>
        <w:t>3</w:t>
      </w:r>
      <w:r w:rsidRPr="00402399">
        <w:rPr>
          <w:rFonts w:asciiTheme="minorHAnsi" w:hAnsiTheme="minorHAnsi"/>
          <w:b/>
        </w:rPr>
        <w:t xml:space="preserve">: IAB nodes operating in NSA mode cannot utilize </w:t>
      </w:r>
      <w:r>
        <w:rPr>
          <w:rFonts w:asciiTheme="minorHAnsi" w:hAnsiTheme="minorHAnsi"/>
          <w:b/>
        </w:rPr>
        <w:t>the NR DC framework</w:t>
      </w:r>
      <w:r w:rsidRPr="00402399">
        <w:rPr>
          <w:rFonts w:asciiTheme="minorHAnsi" w:hAnsiTheme="minorHAnsi"/>
          <w:b/>
        </w:rPr>
        <w:t xml:space="preserve"> to provide route redundancy.</w:t>
      </w:r>
    </w:p>
    <w:p w:rsidR="00C408C7" w:rsidRDefault="00C408C7" w:rsidP="00C408C7">
      <w:pPr>
        <w:rPr>
          <w:rFonts w:ascii="Calibri" w:eastAsia="Malgun Gothic" w:hAnsi="Calibri" w:cs="Batang"/>
          <w:b/>
          <w:lang w:val="en-GB" w:eastAsia="ko-KR"/>
        </w:rPr>
      </w:pPr>
    </w:p>
    <w:p w:rsidR="00AE7B02" w:rsidRPr="00E16C01" w:rsidRDefault="00AE7B02" w:rsidP="00AE7B02">
      <w:pPr>
        <w:rPr>
          <w:rFonts w:ascii="Calibri" w:eastAsia="Malgun Gothic" w:hAnsi="Calibri" w:cs="Batang"/>
          <w:b/>
          <w:lang w:val="en-GB" w:eastAsia="ko-KR"/>
        </w:rPr>
      </w:pPr>
      <w:r w:rsidRPr="00E16C01">
        <w:rPr>
          <w:rFonts w:ascii="Calibri" w:eastAsia="Malgun Gothic" w:hAnsi="Calibri" w:cs="Batang"/>
          <w:b/>
          <w:lang w:val="en-GB" w:eastAsia="ko-KR"/>
        </w:rPr>
        <w:t xml:space="preserve">Proposal 1: Release 16 IAB specifications </w:t>
      </w:r>
      <w:r>
        <w:rPr>
          <w:rFonts w:ascii="Calibri" w:eastAsia="Malgun Gothic" w:hAnsi="Calibri" w:cs="Batang"/>
          <w:b/>
          <w:lang w:val="en-GB" w:eastAsia="ko-KR"/>
        </w:rPr>
        <w:t>need</w:t>
      </w:r>
      <w:r w:rsidRPr="00E16C01">
        <w:rPr>
          <w:rFonts w:ascii="Calibri" w:eastAsia="Malgun Gothic" w:hAnsi="Calibri" w:cs="Batang"/>
          <w:b/>
          <w:lang w:val="en-GB" w:eastAsia="ko-KR"/>
        </w:rPr>
        <w:t xml:space="preserve"> not restrict how a network vendor chooses to use the primary and secondary IP connections </w:t>
      </w:r>
      <w:r>
        <w:rPr>
          <w:rFonts w:ascii="Calibri" w:eastAsia="Malgun Gothic" w:hAnsi="Calibri" w:cs="Batang"/>
          <w:b/>
          <w:lang w:val="en-GB" w:eastAsia="ko-KR"/>
        </w:rPr>
        <w:t xml:space="preserve">to an IAB node </w:t>
      </w:r>
      <w:r w:rsidRPr="00E16C01">
        <w:rPr>
          <w:rFonts w:ascii="Calibri" w:eastAsia="Malgun Gothic" w:hAnsi="Calibri" w:cs="Batang"/>
          <w:b/>
          <w:lang w:val="en-GB" w:eastAsia="ko-KR"/>
        </w:rPr>
        <w:t xml:space="preserve">for redundancy or load balancing per implementation. </w:t>
      </w:r>
    </w:p>
    <w:p w:rsidR="00AE7B02" w:rsidRPr="00B21299" w:rsidRDefault="00AE7B02" w:rsidP="00AE7B02">
      <w:pPr>
        <w:rPr>
          <w:rFonts w:ascii="Calibri" w:eastAsia="Malgun Gothic" w:hAnsi="Calibri" w:cs="Batang"/>
          <w:b/>
          <w:lang w:val="en-GB" w:eastAsia="ko-KR"/>
        </w:rPr>
      </w:pPr>
      <w:r w:rsidRPr="00B21299">
        <w:rPr>
          <w:rFonts w:ascii="Calibri" w:eastAsia="Malgun Gothic" w:hAnsi="Calibri" w:cs="Batang"/>
          <w:b/>
          <w:lang w:val="en-GB" w:eastAsia="ko-KR"/>
        </w:rPr>
        <w:t>Proposal 2:  In a simple route redundancy scenario, the donor CU should always use the IP address corresponding to the SCG path as the primary route and the IP address corresponding to the MCG address as the backup or recovery route to allow the MT of the IAB node to report path failure using existing NR DC procedures.</w:t>
      </w:r>
    </w:p>
    <w:p w:rsidR="00AE7B02" w:rsidRPr="00431089" w:rsidRDefault="00AE7B02" w:rsidP="00AE7B02">
      <w:pPr>
        <w:rPr>
          <w:rFonts w:ascii="Calibri" w:eastAsia="Malgun Gothic" w:hAnsi="Calibri" w:cs="Batang"/>
          <w:b/>
          <w:lang w:val="en-GB" w:eastAsia="ko-KR"/>
        </w:rPr>
      </w:pPr>
      <w:r w:rsidRPr="00431089">
        <w:rPr>
          <w:rFonts w:ascii="Calibri" w:eastAsia="Malgun Gothic" w:hAnsi="Calibri" w:cs="Batang"/>
          <w:b/>
          <w:lang w:val="en-GB" w:eastAsia="ko-KR"/>
        </w:rPr>
        <w:t>Proposal 3: RAN2 should consider what, if any, specification should be made to ensure that the donor CU always uses the SCG path as the primary route in the route redundancy case.</w:t>
      </w:r>
    </w:p>
    <w:p w:rsidR="00AE7B02" w:rsidRDefault="00AE7B02" w:rsidP="00AE7B02">
      <w:pPr>
        <w:rPr>
          <w:rFonts w:asciiTheme="minorHAnsi" w:hAnsiTheme="minorHAnsi"/>
          <w:b/>
        </w:rPr>
      </w:pPr>
      <w:r w:rsidRPr="00402399">
        <w:rPr>
          <w:rFonts w:asciiTheme="minorHAnsi" w:hAnsiTheme="minorHAnsi"/>
          <w:b/>
        </w:rPr>
        <w:t xml:space="preserve">Proposal </w:t>
      </w:r>
      <w:r>
        <w:rPr>
          <w:rFonts w:asciiTheme="minorHAnsi" w:hAnsiTheme="minorHAnsi"/>
          <w:b/>
        </w:rPr>
        <w:t>4</w:t>
      </w:r>
      <w:r w:rsidRPr="00402399">
        <w:rPr>
          <w:rFonts w:asciiTheme="minorHAnsi" w:hAnsiTheme="minorHAnsi"/>
          <w:b/>
        </w:rPr>
        <w:t>: 3GPP should consider the use of fast SCG change solutions to provide rapid path switching between redundant routes preconfigured for NSA-mode IAB nodes.</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5A0577" w:rsidRPr="00E66F52" w:rsidRDefault="00DB04CF" w:rsidP="005A0577">
      <w:pPr>
        <w:pStyle w:val="2222"/>
        <w:numPr>
          <w:ilvl w:val="0"/>
          <w:numId w:val="5"/>
        </w:numPr>
        <w:spacing w:after="120" w:line="288" w:lineRule="auto"/>
        <w:ind w:left="360" w:firstLineChars="0"/>
        <w:jc w:val="left"/>
        <w:rPr>
          <w:rFonts w:cs="Times New Roman"/>
          <w:lang w:eastAsia="ko-KR"/>
        </w:rPr>
      </w:pPr>
      <w:r>
        <w:rPr>
          <w:rFonts w:cs="Times New Roman"/>
          <w:lang w:eastAsia="ko-KR"/>
        </w:rPr>
        <w:t xml:space="preserve">[1] </w:t>
      </w:r>
      <w:r w:rsidR="005A0577">
        <w:rPr>
          <w:rFonts w:cs="Times New Roman"/>
          <w:lang w:eastAsia="ko-KR"/>
        </w:rPr>
        <w:t>RP-181433, New WID: NR mobility enhancements, Intel</w:t>
      </w:r>
    </w:p>
    <w:sectPr w:rsidR="005A0577" w:rsidRPr="00E66F5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145" w:rsidRDefault="00114145" w:rsidP="00424124">
      <w:pPr>
        <w:spacing w:before="0" w:after="0"/>
      </w:pPr>
      <w:r>
        <w:separator/>
      </w:r>
    </w:p>
  </w:endnote>
  <w:endnote w:type="continuationSeparator" w:id="0">
    <w:p w:rsidR="00114145" w:rsidRDefault="0011414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145" w:rsidRDefault="00114145" w:rsidP="00424124">
      <w:pPr>
        <w:spacing w:before="0" w:after="0"/>
      </w:pPr>
      <w:r>
        <w:separator/>
      </w:r>
    </w:p>
  </w:footnote>
  <w:footnote w:type="continuationSeparator" w:id="0">
    <w:p w:rsidR="00114145" w:rsidRDefault="0011414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3"/>
  </w:num>
  <w:num w:numId="15">
    <w:abstractNumId w:val="1"/>
  </w:num>
  <w:num w:numId="16">
    <w:abstractNumId w:val="20"/>
  </w:num>
  <w:num w:numId="17">
    <w:abstractNumId w:val="14"/>
  </w:num>
  <w:num w:numId="18">
    <w:abstractNumId w:val="11"/>
  </w:num>
  <w:num w:numId="19">
    <w:abstractNumId w:val="5"/>
  </w:num>
  <w:num w:numId="20">
    <w:abstractNumId w:val="21"/>
  </w:num>
  <w:num w:numId="21">
    <w:abstractNumId w:val="19"/>
  </w:num>
  <w:num w:numId="22">
    <w:abstractNumId w:val="22"/>
  </w:num>
  <w:num w:numId="23">
    <w:abstractNumId w:val="7"/>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5800"/>
    <w:rsid w:val="000865E3"/>
    <w:rsid w:val="000917C5"/>
    <w:rsid w:val="00094DA3"/>
    <w:rsid w:val="00097DC6"/>
    <w:rsid w:val="000A36A9"/>
    <w:rsid w:val="000B0720"/>
    <w:rsid w:val="000B58AF"/>
    <w:rsid w:val="000B6D99"/>
    <w:rsid w:val="000C05C0"/>
    <w:rsid w:val="000C21D0"/>
    <w:rsid w:val="000C57B9"/>
    <w:rsid w:val="000D176F"/>
    <w:rsid w:val="000D38DC"/>
    <w:rsid w:val="000E2283"/>
    <w:rsid w:val="000E29D8"/>
    <w:rsid w:val="000E7524"/>
    <w:rsid w:val="000F259D"/>
    <w:rsid w:val="000F6CCA"/>
    <w:rsid w:val="0010303E"/>
    <w:rsid w:val="0011327D"/>
    <w:rsid w:val="00114145"/>
    <w:rsid w:val="0011588C"/>
    <w:rsid w:val="00116DA6"/>
    <w:rsid w:val="001279BC"/>
    <w:rsid w:val="00134C07"/>
    <w:rsid w:val="001356D6"/>
    <w:rsid w:val="00137E15"/>
    <w:rsid w:val="001417A8"/>
    <w:rsid w:val="00153793"/>
    <w:rsid w:val="00162B42"/>
    <w:rsid w:val="00164A98"/>
    <w:rsid w:val="00172743"/>
    <w:rsid w:val="00175301"/>
    <w:rsid w:val="00184E81"/>
    <w:rsid w:val="001901AC"/>
    <w:rsid w:val="00196027"/>
    <w:rsid w:val="001A5A68"/>
    <w:rsid w:val="001A6212"/>
    <w:rsid w:val="001A75E0"/>
    <w:rsid w:val="001B2705"/>
    <w:rsid w:val="001B7305"/>
    <w:rsid w:val="001B731B"/>
    <w:rsid w:val="001C4ACE"/>
    <w:rsid w:val="001C699C"/>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553B"/>
    <w:rsid w:val="003A566A"/>
    <w:rsid w:val="003B1EC9"/>
    <w:rsid w:val="003B5456"/>
    <w:rsid w:val="003C2392"/>
    <w:rsid w:val="003C2E75"/>
    <w:rsid w:val="003C3250"/>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4D73"/>
    <w:rsid w:val="004A5ABE"/>
    <w:rsid w:val="004A6424"/>
    <w:rsid w:val="004A69D0"/>
    <w:rsid w:val="004A6A82"/>
    <w:rsid w:val="004A7002"/>
    <w:rsid w:val="004A720A"/>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2838"/>
    <w:rsid w:val="005131F9"/>
    <w:rsid w:val="0051424F"/>
    <w:rsid w:val="00523623"/>
    <w:rsid w:val="005249A6"/>
    <w:rsid w:val="005300F0"/>
    <w:rsid w:val="005363F5"/>
    <w:rsid w:val="00541819"/>
    <w:rsid w:val="0054560C"/>
    <w:rsid w:val="00545FD3"/>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47BD"/>
    <w:rsid w:val="005B69C2"/>
    <w:rsid w:val="005B6FA6"/>
    <w:rsid w:val="005C55D3"/>
    <w:rsid w:val="005D2C51"/>
    <w:rsid w:val="005D4F9E"/>
    <w:rsid w:val="005E5DCB"/>
    <w:rsid w:val="005F21BF"/>
    <w:rsid w:val="005F613D"/>
    <w:rsid w:val="005F705D"/>
    <w:rsid w:val="00600F57"/>
    <w:rsid w:val="00603015"/>
    <w:rsid w:val="00604F3E"/>
    <w:rsid w:val="0060603E"/>
    <w:rsid w:val="00621955"/>
    <w:rsid w:val="00632789"/>
    <w:rsid w:val="00633934"/>
    <w:rsid w:val="00634707"/>
    <w:rsid w:val="00636F9E"/>
    <w:rsid w:val="006439F2"/>
    <w:rsid w:val="00644034"/>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2D2E"/>
    <w:rsid w:val="006B67B9"/>
    <w:rsid w:val="006B6C31"/>
    <w:rsid w:val="006C0BAC"/>
    <w:rsid w:val="006C452E"/>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6067D"/>
    <w:rsid w:val="00782CDC"/>
    <w:rsid w:val="007839F9"/>
    <w:rsid w:val="00784079"/>
    <w:rsid w:val="00784132"/>
    <w:rsid w:val="00786229"/>
    <w:rsid w:val="0078708D"/>
    <w:rsid w:val="00787145"/>
    <w:rsid w:val="00791D57"/>
    <w:rsid w:val="007A0744"/>
    <w:rsid w:val="007A2765"/>
    <w:rsid w:val="007B13E5"/>
    <w:rsid w:val="007B2F6B"/>
    <w:rsid w:val="007B473A"/>
    <w:rsid w:val="007C2993"/>
    <w:rsid w:val="007C4B85"/>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43D"/>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56B1"/>
    <w:rsid w:val="00A4674D"/>
    <w:rsid w:val="00A547CE"/>
    <w:rsid w:val="00A55FF3"/>
    <w:rsid w:val="00A603CE"/>
    <w:rsid w:val="00A605F1"/>
    <w:rsid w:val="00A61CB6"/>
    <w:rsid w:val="00A64CF7"/>
    <w:rsid w:val="00A672BA"/>
    <w:rsid w:val="00A72B33"/>
    <w:rsid w:val="00A821EA"/>
    <w:rsid w:val="00A8721E"/>
    <w:rsid w:val="00A92495"/>
    <w:rsid w:val="00AA12B3"/>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5DE"/>
    <w:rsid w:val="00AF733C"/>
    <w:rsid w:val="00B00828"/>
    <w:rsid w:val="00B01529"/>
    <w:rsid w:val="00B04278"/>
    <w:rsid w:val="00B12672"/>
    <w:rsid w:val="00B21299"/>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34CA"/>
    <w:rsid w:val="00C55D8F"/>
    <w:rsid w:val="00C63006"/>
    <w:rsid w:val="00C67568"/>
    <w:rsid w:val="00C7007B"/>
    <w:rsid w:val="00C71871"/>
    <w:rsid w:val="00C724F1"/>
    <w:rsid w:val="00C735F1"/>
    <w:rsid w:val="00C913B6"/>
    <w:rsid w:val="00C91C5E"/>
    <w:rsid w:val="00C92E44"/>
    <w:rsid w:val="00CA6EA3"/>
    <w:rsid w:val="00CB15A7"/>
    <w:rsid w:val="00CB6D97"/>
    <w:rsid w:val="00CC09CE"/>
    <w:rsid w:val="00CD0E88"/>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3971"/>
    <w:rsid w:val="00DD663E"/>
    <w:rsid w:val="00DE2A3F"/>
    <w:rsid w:val="00DF5F45"/>
    <w:rsid w:val="00E03E65"/>
    <w:rsid w:val="00E06B55"/>
    <w:rsid w:val="00E13146"/>
    <w:rsid w:val="00E16C01"/>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857E4"/>
    <w:rsid w:val="00E85B05"/>
    <w:rsid w:val="00E9139D"/>
    <w:rsid w:val="00E92487"/>
    <w:rsid w:val="00E92812"/>
    <w:rsid w:val="00EA17FF"/>
    <w:rsid w:val="00EA26E5"/>
    <w:rsid w:val="00EA3B02"/>
    <w:rsid w:val="00EA5A59"/>
    <w:rsid w:val="00EA6213"/>
    <w:rsid w:val="00EB055B"/>
    <w:rsid w:val="00EB0C39"/>
    <w:rsid w:val="00EB3301"/>
    <w:rsid w:val="00EB588F"/>
    <w:rsid w:val="00EE2068"/>
    <w:rsid w:val="00EE4A18"/>
    <w:rsid w:val="00EF1F69"/>
    <w:rsid w:val="00EF61D1"/>
    <w:rsid w:val="00F05333"/>
    <w:rsid w:val="00F1311C"/>
    <w:rsid w:val="00F154D0"/>
    <w:rsid w:val="00F20DFF"/>
    <w:rsid w:val="00F246F5"/>
    <w:rsid w:val="00F261D6"/>
    <w:rsid w:val="00F26D45"/>
    <w:rsid w:val="00F30C84"/>
    <w:rsid w:val="00F35704"/>
    <w:rsid w:val="00F35911"/>
    <w:rsid w:val="00F35DD7"/>
    <w:rsid w:val="00F42D43"/>
    <w:rsid w:val="00F463C9"/>
    <w:rsid w:val="00F57965"/>
    <w:rsid w:val="00F62702"/>
    <w:rsid w:val="00F62C88"/>
    <w:rsid w:val="00F71810"/>
    <w:rsid w:val="00F72ABE"/>
    <w:rsid w:val="00F72B1B"/>
    <w:rsid w:val="00F7596C"/>
    <w:rsid w:val="00F75F2B"/>
    <w:rsid w:val="00F76733"/>
    <w:rsid w:val="00F76A86"/>
    <w:rsid w:val="00F77E12"/>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B732E-B9A8-4B4F-A9F3-1F40CE28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2237</TotalTime>
  <Pages>4</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9916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50</cp:revision>
  <cp:lastPrinted>2018-09-28T20:14:00Z</cp:lastPrinted>
  <dcterms:created xsi:type="dcterms:W3CDTF">2019-04-26T21:50:00Z</dcterms:created>
  <dcterms:modified xsi:type="dcterms:W3CDTF">2019-05-03T02:05:00Z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